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99" w:rsidRDefault="00ED5699" w:rsidP="00ED56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KEPUTUSAN</w:t>
      </w:r>
    </w:p>
    <w:p w:rsidR="00ED5699" w:rsidRDefault="00ED5699" w:rsidP="00ED56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MENTERI RISET DAN TEKNOLOGI</w:t>
      </w:r>
    </w:p>
    <w:p w:rsidR="00ED5699" w:rsidRDefault="00ED5699" w:rsidP="00ED5699">
      <w:pPr>
        <w:spacing w:after="11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REPUBLIK INDONESIA</w:t>
      </w:r>
    </w:p>
    <w:p w:rsidR="00ED5699" w:rsidRDefault="00ED5699" w:rsidP="00ED5699">
      <w:pPr>
        <w:spacing w:after="113"/>
        <w:jc w:val="center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NOMOR:        /M/KP/VII/2014</w:t>
      </w:r>
    </w:p>
    <w:p w:rsidR="00ED5699" w:rsidRPr="00E21C7D" w:rsidRDefault="00ED5699" w:rsidP="00ED5699">
      <w:pPr>
        <w:spacing w:after="113"/>
        <w:jc w:val="center"/>
        <w:rPr>
          <w:rFonts w:ascii="Arial" w:hAnsi="Arial"/>
          <w:sz w:val="22"/>
          <w:szCs w:val="22"/>
          <w:lang w:val="en-US"/>
        </w:rPr>
      </w:pPr>
    </w:p>
    <w:p w:rsidR="00ED5699" w:rsidRDefault="00ED5699" w:rsidP="00ED5699">
      <w:pPr>
        <w:spacing w:after="11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TENTANG</w:t>
      </w:r>
    </w:p>
    <w:p w:rsidR="00ED5699" w:rsidRDefault="00ED5699" w:rsidP="00ED5699">
      <w:pPr>
        <w:jc w:val="center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TIM EVALUASI PENETAPAN </w:t>
      </w:r>
      <w:r>
        <w:rPr>
          <w:rFonts w:ascii="Arial" w:hAnsi="Arial"/>
          <w:sz w:val="22"/>
          <w:szCs w:val="22"/>
          <w:lang w:val="en-US"/>
        </w:rPr>
        <w:t xml:space="preserve">DAN PENILAIAN CAPAIAN </w:t>
      </w:r>
    </w:p>
    <w:p w:rsidR="00ED5699" w:rsidRPr="00E21C7D" w:rsidRDefault="00ED5699" w:rsidP="00ED56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SASARAN KERJA PEGAWAI</w:t>
      </w:r>
      <w:r w:rsidRPr="00E21C7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(SKP)</w:t>
      </w:r>
    </w:p>
    <w:p w:rsidR="00ED5699" w:rsidRPr="00E21C7D" w:rsidRDefault="00ED5699" w:rsidP="00ED5699">
      <w:pPr>
        <w:jc w:val="center"/>
        <w:rPr>
          <w:rFonts w:ascii="Arial" w:hAnsi="Arial"/>
          <w:sz w:val="22"/>
          <w:szCs w:val="22"/>
        </w:rPr>
      </w:pPr>
      <w:r w:rsidRPr="00E21C7D">
        <w:rPr>
          <w:rFonts w:ascii="Arial" w:hAnsi="Arial"/>
          <w:sz w:val="22"/>
          <w:szCs w:val="22"/>
        </w:rPr>
        <w:t>DI KEMENTERIAN RISET DAN TEKNOLOGI</w:t>
      </w:r>
    </w:p>
    <w:p w:rsidR="00ED5699" w:rsidRPr="001706BA" w:rsidRDefault="00ED5699" w:rsidP="00ED5699">
      <w:pPr>
        <w:jc w:val="center"/>
        <w:rPr>
          <w:rFonts w:ascii="Arial" w:hAnsi="Arial"/>
          <w:sz w:val="22"/>
          <w:szCs w:val="22"/>
        </w:rPr>
      </w:pPr>
    </w:p>
    <w:p w:rsidR="00ED5699" w:rsidRDefault="00ED5699" w:rsidP="00ED56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MENTERI RISET DAN TEKNOLOGI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REPUBLIK INDONESIA,</w:t>
      </w:r>
    </w:p>
    <w:p w:rsidR="00ED5699" w:rsidRDefault="00ED5699" w:rsidP="00ED5699">
      <w:pPr>
        <w:jc w:val="center"/>
        <w:rPr>
          <w:rFonts w:ascii="Arial" w:hAnsi="Arial"/>
          <w:sz w:val="22"/>
          <w:szCs w:val="22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5"/>
        <w:gridCol w:w="288"/>
        <w:gridCol w:w="325"/>
        <w:gridCol w:w="6743"/>
      </w:tblGrid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Menimbang             </w:t>
            </w: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2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a.</w:t>
            </w:r>
          </w:p>
        </w:tc>
        <w:tc>
          <w:tcPr>
            <w:tcW w:w="6743" w:type="dxa"/>
          </w:tcPr>
          <w:p w:rsidR="00ED5699" w:rsidRDefault="00ED5699" w:rsidP="00ED5699">
            <w:pPr>
              <w:pStyle w:val="BodyTextIndent"/>
              <w:tabs>
                <w:tab w:val="clear" w:pos="-16666"/>
                <w:tab w:val="clear" w:pos="-16306"/>
                <w:tab w:val="left" w:pos="-32486"/>
                <w:tab w:val="left" w:pos="-32126"/>
                <w:tab w:val="left" w:pos="-30226"/>
                <w:tab w:val="left" w:pos="-29866"/>
                <w:tab w:val="left" w:pos="-27966"/>
                <w:tab w:val="left" w:pos="-27606"/>
                <w:tab w:val="left" w:pos="-25706"/>
                <w:tab w:val="left" w:pos="-25346"/>
                <w:tab w:val="left" w:pos="-23446"/>
                <w:tab w:val="left" w:pos="-23086"/>
                <w:tab w:val="left" w:pos="-21186"/>
                <w:tab w:val="left" w:pos="-20826"/>
                <w:tab w:val="left" w:pos="-18926"/>
                <w:tab w:val="left" w:pos="-18566"/>
              </w:tabs>
              <w:snapToGrid w:val="0"/>
              <w:spacing w:after="113"/>
              <w:ind w:left="-10" w:right="5" w:firstLine="0"/>
              <w:rPr>
                <w:rFonts w:ascii="Arial" w:hAnsi="Arial"/>
                <w:sz w:val="22"/>
                <w:szCs w:val="22"/>
                <w:lang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bahwa untuk menjamin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kelancaran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proses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pen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tapan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sasaran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kerja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pegawai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obyektivitas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penilaian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capaian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sasaran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kerja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pegawai</w:t>
            </w:r>
            <w:proofErr w:type="spellEnd"/>
            <w:r>
              <w:rPr>
                <w:rFonts w:ascii="Arial" w:hAnsi="Arial"/>
                <w:sz w:val="22"/>
                <w:szCs w:val="22"/>
                <w:lang/>
              </w:rPr>
              <w:t xml:space="preserve">, dipandang perlu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membentuk</w:t>
            </w:r>
            <w:proofErr w:type="spellEnd"/>
            <w:r>
              <w:rPr>
                <w:rFonts w:ascii="Arial" w:hAnsi="Arial"/>
                <w:sz w:val="22"/>
                <w:szCs w:val="22"/>
                <w:lang/>
              </w:rPr>
              <w:t xml:space="preserve"> tim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evaluasi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penetapan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penilaian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capaian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sasaran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kerja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pegawai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/>
              </w:rPr>
              <w:t>di Kementerian Riset dan Teknologi;</w:t>
            </w:r>
          </w:p>
        </w:tc>
      </w:tr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b.</w:t>
            </w:r>
          </w:p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P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</w:tc>
        <w:tc>
          <w:tcPr>
            <w:tcW w:w="6743" w:type="dxa"/>
          </w:tcPr>
          <w:p w:rsidR="00ED5699" w:rsidRDefault="00ED5699" w:rsidP="00D609EC">
            <w:pPr>
              <w:pStyle w:val="TableContents"/>
              <w:tabs>
                <w:tab w:val="left" w:pos="-32486"/>
                <w:tab w:val="left" w:pos="-32126"/>
                <w:tab w:val="left" w:pos="-30226"/>
                <w:tab w:val="left" w:pos="-29866"/>
                <w:tab w:val="left" w:pos="-27966"/>
                <w:tab w:val="left" w:pos="-27606"/>
                <w:tab w:val="left" w:pos="-25706"/>
                <w:tab w:val="left" w:pos="-25346"/>
                <w:tab w:val="left" w:pos="-23446"/>
                <w:tab w:val="left" w:pos="-23086"/>
                <w:tab w:val="left" w:pos="-21186"/>
                <w:tab w:val="left" w:pos="-20826"/>
                <w:tab w:val="left" w:pos="-18926"/>
                <w:tab w:val="left" w:pos="-18566"/>
              </w:tabs>
              <w:snapToGrid w:val="0"/>
              <w:ind w:left="-10" w:right="5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bahwa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pejabat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sebagaimana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tersebut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lampiran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Keputusan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dipandang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cakap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memenuhi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syarat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diangkat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sebagai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anggota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Tim.</w:t>
            </w:r>
          </w:p>
          <w:p w:rsidR="00ED5699" w:rsidRDefault="00ED5699" w:rsidP="00D609EC">
            <w:pPr>
              <w:pStyle w:val="TableContents"/>
              <w:tabs>
                <w:tab w:val="left" w:pos="-32486"/>
                <w:tab w:val="left" w:pos="-32126"/>
                <w:tab w:val="left" w:pos="-30226"/>
                <w:tab w:val="left" w:pos="-29866"/>
                <w:tab w:val="left" w:pos="-27966"/>
                <w:tab w:val="left" w:pos="-27606"/>
                <w:tab w:val="left" w:pos="-25706"/>
                <w:tab w:val="left" w:pos="-25346"/>
                <w:tab w:val="left" w:pos="-23446"/>
                <w:tab w:val="left" w:pos="-23086"/>
                <w:tab w:val="left" w:pos="-21186"/>
                <w:tab w:val="left" w:pos="-20826"/>
                <w:tab w:val="left" w:pos="-18926"/>
                <w:tab w:val="left" w:pos="-18566"/>
              </w:tabs>
              <w:snapToGrid w:val="0"/>
              <w:ind w:left="-10" w:right="5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Default="00ED5699" w:rsidP="00ED5699">
            <w:pPr>
              <w:pStyle w:val="TableContents"/>
              <w:tabs>
                <w:tab w:val="left" w:pos="-32486"/>
                <w:tab w:val="left" w:pos="-32126"/>
                <w:tab w:val="left" w:pos="-30226"/>
                <w:tab w:val="left" w:pos="-29866"/>
                <w:tab w:val="left" w:pos="-27966"/>
                <w:tab w:val="left" w:pos="-27606"/>
                <w:tab w:val="left" w:pos="-25706"/>
                <w:tab w:val="left" w:pos="-25346"/>
                <w:tab w:val="left" w:pos="-23446"/>
                <w:tab w:val="left" w:pos="-23086"/>
                <w:tab w:val="left" w:pos="-21186"/>
                <w:tab w:val="left" w:pos="-20826"/>
                <w:tab w:val="left" w:pos="-18926"/>
                <w:tab w:val="left" w:pos="-18566"/>
              </w:tabs>
              <w:snapToGrid w:val="0"/>
              <w:ind w:left="-10" w:right="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bahwa berdasarkan pertimbangan sebagaimana dimaksud pada huruf a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b</w:t>
            </w:r>
            <w:r>
              <w:rPr>
                <w:rFonts w:ascii="Arial" w:hAnsi="Arial"/>
                <w:sz w:val="22"/>
                <w:szCs w:val="22"/>
              </w:rPr>
              <w:t xml:space="preserve"> diatas, maka perlu menetapkan Keputusan Menteri Riset dan Teknologi tentang Tim Evaluasi Pen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etapan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dan Pen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ilaian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Capaian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Sasaran Kerja Pegawai (SKP)</w:t>
            </w:r>
            <w:r w:rsidRPr="00E21C7D">
              <w:rPr>
                <w:rFonts w:ascii="Arial" w:hAnsi="Arial"/>
                <w:sz w:val="22"/>
                <w:szCs w:val="22"/>
              </w:rPr>
              <w:t xml:space="preserve"> di Kementerian Riset dan Teknologi.</w:t>
            </w:r>
          </w:p>
        </w:tc>
      </w:tr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43" w:type="dxa"/>
          </w:tcPr>
          <w:p w:rsidR="00ED5699" w:rsidRPr="00CA6C3E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shd w:val="clear" w:color="auto" w:fill="FFFF00"/>
              </w:rPr>
            </w:pPr>
          </w:p>
        </w:tc>
      </w:tr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Mengingat</w:t>
            </w: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2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  <w:p w:rsidR="00ED5699" w:rsidRDefault="00ED5699" w:rsidP="00D609E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43" w:type="dxa"/>
          </w:tcPr>
          <w:p w:rsidR="00ED5699" w:rsidRPr="00CA6C3E" w:rsidRDefault="00ED5699" w:rsidP="00D609EC">
            <w:pPr>
              <w:pStyle w:val="TableContents"/>
              <w:snapToGrid w:val="0"/>
              <w:spacing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Undang-U</w:t>
            </w:r>
            <w:r w:rsidRPr="00CA6C3E">
              <w:rPr>
                <w:rFonts w:ascii="Arial" w:hAnsi="Arial" w:cs="Arial"/>
                <w:sz w:val="22"/>
                <w:szCs w:val="22"/>
              </w:rPr>
              <w:t>ndang Nomor 5 Tahun 2014 tentang Aparatur Sipil Negara (Lembaran Negara Republik Indonesia Tahun 2014 Nomor 6, Tambahan Lembaran Negara Republik Indonesia Nomor 5494);</w:t>
            </w:r>
          </w:p>
        </w:tc>
      </w:tr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" w:type="dxa"/>
          </w:tcPr>
          <w:p w:rsidR="00ED5699" w:rsidRPr="00A8710D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 w:rsidRPr="00A8710D">
              <w:rPr>
                <w:rFonts w:ascii="Arial" w:hAnsi="Arial"/>
                <w:sz w:val="22"/>
                <w:szCs w:val="22"/>
              </w:rPr>
              <w:t>2.</w:t>
            </w:r>
          </w:p>
          <w:p w:rsidR="00ED5699" w:rsidRPr="00A8710D" w:rsidRDefault="00ED5699" w:rsidP="00D609E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43" w:type="dxa"/>
          </w:tcPr>
          <w:p w:rsidR="00ED5699" w:rsidRPr="00A8710D" w:rsidRDefault="00ED5699" w:rsidP="00D609EC">
            <w:pPr>
              <w:pStyle w:val="TableContents"/>
              <w:snapToGrid w:val="0"/>
              <w:spacing w:after="113"/>
              <w:jc w:val="both"/>
              <w:rPr>
                <w:rFonts w:ascii="Arial" w:hAnsi="Arial" w:cs="DejaVu Sans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</w:rPr>
              <w:t>Peraturan Pemerintah Nomor 46 Tahun 2011</w:t>
            </w:r>
            <w:r w:rsidRPr="00A8710D">
              <w:rPr>
                <w:rFonts w:ascii="Arial" w:hAnsi="Arial" w:cs="Arial"/>
                <w:sz w:val="22"/>
                <w:szCs w:val="22"/>
              </w:rPr>
              <w:t xml:space="preserve"> tentang </w:t>
            </w:r>
            <w:r>
              <w:rPr>
                <w:rFonts w:ascii="Arial" w:hAnsi="Arial" w:cs="Arial"/>
                <w:sz w:val="22"/>
                <w:szCs w:val="22"/>
              </w:rPr>
              <w:t>Penilaian Prestasi Kerja Pegawai Negeri Sipil</w:t>
            </w:r>
            <w:r w:rsidRPr="00A8710D">
              <w:rPr>
                <w:rFonts w:ascii="Arial" w:hAnsi="Arial" w:cs="Arial"/>
                <w:sz w:val="22"/>
                <w:szCs w:val="22"/>
              </w:rPr>
              <w:t xml:space="preserve"> (Lembaran Nega</w:t>
            </w:r>
            <w:r>
              <w:rPr>
                <w:rFonts w:ascii="Arial" w:hAnsi="Arial" w:cs="Arial"/>
                <w:sz w:val="22"/>
                <w:szCs w:val="22"/>
              </w:rPr>
              <w:t>ra Republik Indonesia Tahun 2011 Nomor 121</w:t>
            </w:r>
            <w:r w:rsidRPr="00A8710D">
              <w:rPr>
                <w:rFonts w:ascii="Arial" w:hAnsi="Arial" w:cs="Arial"/>
                <w:sz w:val="22"/>
                <w:szCs w:val="22"/>
              </w:rPr>
              <w:t>, Tambahan Lembaran Nega</w:t>
            </w:r>
            <w:r>
              <w:rPr>
                <w:rFonts w:ascii="Arial" w:hAnsi="Arial" w:cs="Arial"/>
                <w:sz w:val="22"/>
                <w:szCs w:val="22"/>
              </w:rPr>
              <w:t>ra Republik Indonesia Nomor 5258</w:t>
            </w:r>
            <w:r w:rsidRPr="00A8710D">
              <w:rPr>
                <w:rFonts w:ascii="Arial" w:hAnsi="Arial" w:cs="Arial"/>
                <w:sz w:val="22"/>
                <w:szCs w:val="22"/>
              </w:rPr>
              <w:t>);</w:t>
            </w:r>
          </w:p>
        </w:tc>
      </w:tr>
      <w:tr w:rsidR="00ED5699" w:rsidTr="00D609EC">
        <w:trPr>
          <w:trHeight w:val="574"/>
        </w:trPr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" w:type="dxa"/>
          </w:tcPr>
          <w:p w:rsidR="00ED5699" w:rsidRPr="00CA6C3E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Pr="00CA6C3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743" w:type="dxa"/>
          </w:tcPr>
          <w:p w:rsidR="00ED5699" w:rsidRPr="00CA6C3E" w:rsidRDefault="00ED5699" w:rsidP="00D609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rebuchetMS" w:eastAsia="Times New Roman" w:hAnsi="TrebuchetMS" w:cs="TrebuchetMS"/>
                <w:kern w:val="0"/>
                <w:sz w:val="22"/>
                <w:szCs w:val="22"/>
                <w:lang w:eastAsia="id-ID"/>
              </w:rPr>
            </w:pPr>
            <w:r>
              <w:rPr>
                <w:rFonts w:ascii="Arial" w:hAnsi="Arial"/>
                <w:sz w:val="22"/>
                <w:szCs w:val="22"/>
              </w:rPr>
              <w:t>Peraturan Menteri Negara Riset dan Teknologi Nomor 03/M/PER/VI/2010 tentang Organisasi dan Tata Kerja Kementerian Riset dan Teknologi;</w:t>
            </w:r>
          </w:p>
        </w:tc>
      </w:tr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743" w:type="dxa"/>
          </w:tcPr>
          <w:p w:rsidR="00ED5699" w:rsidRDefault="00ED5699" w:rsidP="00D609EC">
            <w:pPr>
              <w:pStyle w:val="TableContents"/>
              <w:snapToGrid w:val="0"/>
              <w:spacing w:after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Peraturan Kepala BKN Nomor 1 Tahun 2013</w:t>
            </w:r>
            <w:r w:rsidRPr="00D064C2">
              <w:rPr>
                <w:rFonts w:ascii="Arial" w:hAnsi="Arial" w:cs="Arial"/>
                <w:sz w:val="22"/>
                <w:szCs w:val="22"/>
              </w:rPr>
              <w:t xml:space="preserve"> tentang Ketentuan Pelaksanaan </w:t>
            </w:r>
            <w:r w:rsidRPr="002F3CC1">
              <w:rPr>
                <w:rFonts w:ascii="Arial" w:hAnsi="Arial" w:cs="Arial"/>
                <w:sz w:val="22"/>
                <w:szCs w:val="22"/>
              </w:rPr>
              <w:t>Peraturan Pemerintah Nomor 46 Tahun 2011 tentang Penilaian Prestasi Kerja Pegawai Negeri Sipil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D5699" w:rsidTr="00D609EC">
        <w:tc>
          <w:tcPr>
            <w:tcW w:w="157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4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D5699" w:rsidRDefault="00ED5699" w:rsidP="00ED5699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MEMUTUSKAN:</w:t>
      </w:r>
    </w:p>
    <w:p w:rsidR="00ED5699" w:rsidRDefault="00ED5699" w:rsidP="00ED5699">
      <w:pPr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8940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281"/>
        <w:gridCol w:w="338"/>
        <w:gridCol w:w="6803"/>
      </w:tblGrid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Menetapkan</w:t>
            </w: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ED5699" w:rsidRDefault="00ED5699" w:rsidP="00D609E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ED5699">
            <w:pPr>
              <w:pStyle w:val="TableContents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KEPUTUSAN MENTERI RISET DAN TEKNOLOGI REPUBLIK INDONESIA TENTANG TIM EVALUASI PEN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ETAPAN DAN PENILAIAN CAPAIAN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SASARAN KERJA PEGAWAI (SKP)</w:t>
            </w:r>
            <w:r w:rsidRPr="00E21C7D">
              <w:rPr>
                <w:rFonts w:ascii="Arial" w:hAnsi="Arial"/>
                <w:b/>
                <w:bCs/>
                <w:sz w:val="22"/>
                <w:szCs w:val="22"/>
              </w:rPr>
              <w:t xml:space="preserve"> DI KEMENTERIAN RISET DAN TEKNOLOGI.</w:t>
            </w: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D5699" w:rsidTr="00D609EC">
        <w:tc>
          <w:tcPr>
            <w:tcW w:w="1518" w:type="dxa"/>
          </w:tcPr>
          <w:p w:rsidR="00ED5699" w:rsidRPr="00E21C7D" w:rsidRDefault="00ED5699" w:rsidP="00D609EC">
            <w:pPr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KESATU</w:t>
            </w: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Pr="00A8710D" w:rsidRDefault="00ED5699" w:rsidP="00ED5699">
            <w:pPr>
              <w:pStyle w:val="BodyTextIndent"/>
              <w:tabs>
                <w:tab w:val="clear" w:pos="-16666"/>
                <w:tab w:val="clear" w:pos="-16306"/>
                <w:tab w:val="left" w:pos="-32486"/>
                <w:tab w:val="left" w:pos="-32126"/>
                <w:tab w:val="left" w:pos="-30226"/>
                <w:tab w:val="left" w:pos="-29866"/>
                <w:tab w:val="left" w:pos="-27966"/>
                <w:tab w:val="left" w:pos="-27606"/>
                <w:tab w:val="left" w:pos="-25706"/>
                <w:tab w:val="left" w:pos="-25346"/>
                <w:tab w:val="left" w:pos="-23446"/>
                <w:tab w:val="left" w:pos="-23086"/>
                <w:tab w:val="left" w:pos="-21186"/>
                <w:tab w:val="left" w:pos="-20826"/>
                <w:tab w:val="left" w:pos="-18926"/>
                <w:tab w:val="left" w:pos="-18566"/>
              </w:tabs>
              <w:snapToGrid w:val="0"/>
              <w:ind w:left="-10" w:right="5" w:firstLine="0"/>
              <w:rPr>
                <w:rFonts w:ascii="Arial" w:hAnsi="Arial" w:cs="Arial"/>
                <w:sz w:val="22"/>
                <w:szCs w:val="22"/>
              </w:rPr>
            </w:pPr>
            <w:r w:rsidRPr="00A8710D">
              <w:rPr>
                <w:rFonts w:ascii="Arial" w:hAnsi="Arial" w:cs="Arial"/>
                <w:sz w:val="22"/>
                <w:szCs w:val="22"/>
              </w:rPr>
              <w:t>Men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gangkat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8710D">
              <w:rPr>
                <w:rFonts w:ascii="Arial" w:hAnsi="Arial" w:cs="Arial"/>
                <w:sz w:val="22"/>
                <w:szCs w:val="22"/>
              </w:rPr>
              <w:t>pejabat sebagaiman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Pr="00A871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tersebut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lampiran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8710D">
              <w:rPr>
                <w:rFonts w:ascii="Arial" w:hAnsi="Arial" w:cs="Arial"/>
                <w:sz w:val="22"/>
                <w:szCs w:val="22"/>
              </w:rPr>
              <w:t xml:space="preserve">Keputusan ini sebagai Tim </w:t>
            </w:r>
            <w:r>
              <w:rPr>
                <w:rFonts w:ascii="Arial" w:hAnsi="Arial" w:cs="Arial"/>
                <w:sz w:val="22"/>
                <w:szCs w:val="22"/>
              </w:rPr>
              <w:t>Evaluasi Penetapan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Penilaian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Sasaran Kerja Pegawai (SKP) di Kementerian Riset dan Teknologi yang selanjutnya disebut Tim Evaluasi SKP.</w:t>
            </w: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KEDUA</w:t>
            </w: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Tim Evaluasi SKP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mempunyai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:</w:t>
            </w:r>
          </w:p>
          <w:p w:rsidR="00ED5699" w:rsidRDefault="00ED5699" w:rsidP="00ED5699">
            <w:pPr>
              <w:pStyle w:val="TableContents"/>
              <w:numPr>
                <w:ilvl w:val="0"/>
                <w:numId w:val="2"/>
              </w:numPr>
              <w:snapToGrid w:val="0"/>
              <w:ind w:left="302" w:hanging="27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melakukan pemeriksaan terhadap kesesuaian antara </w:t>
            </w:r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SKP </w:t>
            </w:r>
            <w:r>
              <w:rPr>
                <w:rFonts w:ascii="Arial" w:hAnsi="Arial"/>
                <w:sz w:val="22"/>
                <w:szCs w:val="22"/>
              </w:rPr>
              <w:t xml:space="preserve">yang dibuat oleh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pegawai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dengan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dan </w:t>
            </w:r>
            <w:r w:rsidR="003E240E">
              <w:rPr>
                <w:rFonts w:ascii="Arial" w:hAnsi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 xml:space="preserve">ungsi masing-masing jabatan berdasarkan </w:t>
            </w:r>
            <w:r w:rsidRPr="002F3CC1">
              <w:rPr>
                <w:rFonts w:ascii="Arial" w:hAnsi="Arial"/>
                <w:sz w:val="22"/>
                <w:szCs w:val="22"/>
              </w:rPr>
              <w:t xml:space="preserve">Peraturan Menteri Negara Riset dan </w:t>
            </w:r>
            <w:r w:rsidRPr="002F3CC1">
              <w:rPr>
                <w:rFonts w:ascii="Arial" w:hAnsi="Arial"/>
                <w:sz w:val="22"/>
                <w:szCs w:val="22"/>
              </w:rPr>
              <w:lastRenderedPageBreak/>
              <w:t>Teknologi Nomor 03/M/PER/VI/2010 tentang Organisasi dan Tata Kerja Kementerian Riset dan Teknologi</w:t>
            </w:r>
            <w:r>
              <w:rPr>
                <w:rFonts w:ascii="Arial" w:hAnsi="Arial"/>
                <w:sz w:val="22"/>
                <w:szCs w:val="22"/>
              </w:rPr>
              <w:t xml:space="preserve">, Renstra Kemenristek, IKU Kemenristek, serta IKK Eselon I Kemenristek; </w:t>
            </w:r>
          </w:p>
          <w:p w:rsidR="003E240E" w:rsidRDefault="003E240E" w:rsidP="00ED5699">
            <w:pPr>
              <w:pStyle w:val="TableContents"/>
              <w:numPr>
                <w:ilvl w:val="0"/>
                <w:numId w:val="2"/>
              </w:numPr>
              <w:snapToGrid w:val="0"/>
              <w:ind w:left="302" w:hanging="27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Melakukan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evaluasi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terhadap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penilaian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capaian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SKP yang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dilakukan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oleh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atasan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langsung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pejabat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penilai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).</w:t>
            </w:r>
          </w:p>
          <w:p w:rsidR="00ED5699" w:rsidRDefault="00ED5699" w:rsidP="00ED5699">
            <w:pPr>
              <w:pStyle w:val="TableContents"/>
              <w:numPr>
                <w:ilvl w:val="0"/>
                <w:numId w:val="2"/>
              </w:numPr>
              <w:snapToGrid w:val="0"/>
              <w:ind w:left="302" w:hanging="27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menyusun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laporan hasil evaluasi</w:t>
            </w:r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 un</w:t>
            </w:r>
            <w:r>
              <w:rPr>
                <w:rFonts w:ascii="Arial" w:hAnsi="Arial"/>
                <w:sz w:val="22"/>
                <w:szCs w:val="22"/>
              </w:rPr>
              <w:t>tuk dijadikan bahan perbaikan dalam penyusunan</w:t>
            </w:r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penetapan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penilaian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SKP tahun berikutnya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;</w:t>
            </w:r>
          </w:p>
          <w:p w:rsidR="00ED5699" w:rsidRPr="00B11A75" w:rsidRDefault="00ED5699" w:rsidP="003E240E">
            <w:pPr>
              <w:pStyle w:val="TableContents"/>
              <w:numPr>
                <w:ilvl w:val="0"/>
                <w:numId w:val="2"/>
              </w:numPr>
              <w:snapToGrid w:val="0"/>
              <w:ind w:left="302" w:hanging="27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membantu atasan langsung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pejabat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penilai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dalam memeriksa</w:t>
            </w:r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menyusun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tanggapan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atas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keberatan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terhadap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hasil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penilaian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capaian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 xml:space="preserve"> SKP </w:t>
            </w:r>
            <w:r>
              <w:rPr>
                <w:rFonts w:ascii="Arial" w:hAnsi="Arial"/>
                <w:sz w:val="22"/>
                <w:szCs w:val="22"/>
              </w:rPr>
              <w:t xml:space="preserve">yang diajukan oleh </w:t>
            </w:r>
            <w:proofErr w:type="spellStart"/>
            <w:r w:rsidR="003E240E">
              <w:rPr>
                <w:rFonts w:ascii="Arial" w:hAnsi="Arial"/>
                <w:sz w:val="22"/>
                <w:szCs w:val="22"/>
                <w:lang w:val="en-US"/>
              </w:rPr>
              <w:t>pegawai</w:t>
            </w:r>
            <w:proofErr w:type="spellEnd"/>
            <w:r w:rsidR="003E240E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/>
                <w:sz w:val="22"/>
                <w:szCs w:val="22"/>
              </w:rPr>
              <w:t>KE</w:t>
            </w:r>
            <w:r>
              <w:rPr>
                <w:rFonts w:ascii="Arial" w:hAnsi="Arial"/>
                <w:sz w:val="22"/>
                <w:szCs w:val="22"/>
                <w:lang w:val="en-AU"/>
              </w:rPr>
              <w:t>TIGA</w:t>
            </w:r>
          </w:p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  <w:lang w:val="en-AU"/>
              </w:rPr>
            </w:pPr>
          </w:p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  <w:lang w:val="en-AU"/>
              </w:rPr>
            </w:pPr>
          </w:p>
          <w:p w:rsidR="00ED5699" w:rsidRPr="00CB5C75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ED5699" w:rsidRPr="0030183C" w:rsidRDefault="00ED5699" w:rsidP="00D609EC">
            <w:pPr>
              <w:snapToGrid w:val="0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/>
                <w:sz w:val="22"/>
                <w:szCs w:val="22"/>
                <w:lang w:val="en-AU"/>
              </w:rPr>
              <w:t>KEEMPAT</w:t>
            </w: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D5699" w:rsidRPr="00C0096B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ED5699" w:rsidRPr="00B11A75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melaksanakan tugas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Tim Evaluasi SKP dibantu oleh Bagian SDM dan Organisasi, Biro Umum baik dari substansi maupun administrasi.</w:t>
            </w:r>
          </w:p>
          <w:p w:rsidR="00ED5699" w:rsidRPr="00C0096B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Keputusan ini berlaku sejak tanggal ditetapkan </w:t>
            </w:r>
            <w:r w:rsidRPr="00E21C7D">
              <w:rPr>
                <w:rFonts w:ascii="Arial" w:hAnsi="Arial"/>
                <w:sz w:val="22"/>
                <w:szCs w:val="22"/>
              </w:rPr>
              <w:t xml:space="preserve">dan apabila </w:t>
            </w:r>
            <w:r>
              <w:rPr>
                <w:rFonts w:ascii="Arial" w:hAnsi="Arial"/>
                <w:sz w:val="22"/>
                <w:szCs w:val="22"/>
              </w:rPr>
              <w:t xml:space="preserve">di </w:t>
            </w:r>
            <w:r w:rsidRPr="00E21C7D">
              <w:rPr>
                <w:rFonts w:ascii="Arial" w:hAnsi="Arial"/>
                <w:sz w:val="22"/>
                <w:szCs w:val="22"/>
              </w:rPr>
              <w:t>kemudian hari ternyata terdapat kekeliruan dalam Keputusan ini, akan diadakan perbaikan sebagaimana mestinya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</w:tc>
      </w:tr>
      <w:tr w:rsidR="00ED5699" w:rsidTr="00D609EC">
        <w:trPr>
          <w:trHeight w:hRule="exact" w:val="227"/>
        </w:trPr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D5699" w:rsidTr="00D609EC">
        <w:trPr>
          <w:trHeight w:hRule="exact" w:val="227"/>
        </w:trPr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SALINAN Keputusan ini disampaikan kepada:</w:t>
            </w:r>
          </w:p>
        </w:tc>
      </w:tr>
      <w:tr w:rsidR="00ED5699" w:rsidTr="00D609EC">
        <w:tc>
          <w:tcPr>
            <w:tcW w:w="1518" w:type="dxa"/>
          </w:tcPr>
          <w:p w:rsidR="00ED5699" w:rsidRDefault="00ED5699" w:rsidP="00D609EC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" w:type="dxa"/>
          </w:tcPr>
          <w:p w:rsidR="00ED5699" w:rsidRDefault="00ED5699" w:rsidP="00D609E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3" w:type="dxa"/>
          </w:tcPr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snapToGrid w:val="0"/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Menteri Riset dan Teknologi;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Deputi Bidang Kelembagaan Iptek;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Deputi Bidang Sumber Daya Iptek;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Deputi Bidang Jaringan Iptek;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Deputi Bidang Relevansi dan Produktivitas Iptek;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Deputi Bidang Pendayagunaan Iptek;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 w:rsidRPr="00A81BDE">
              <w:rPr>
                <w:rFonts w:ascii="Arial" w:hAnsi="Arial"/>
                <w:sz w:val="22"/>
                <w:szCs w:val="22"/>
              </w:rPr>
              <w:t>Staf Ahli Bidang Pangan dan Pertanian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 w:rsidRPr="00A81BDE">
              <w:rPr>
                <w:rFonts w:ascii="Arial" w:hAnsi="Arial"/>
                <w:sz w:val="22"/>
                <w:szCs w:val="22"/>
              </w:rPr>
              <w:t>Staf Ahli Bidang Energi dan Material Maju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 w:rsidRPr="00A81BDE">
              <w:rPr>
                <w:rFonts w:ascii="Arial" w:hAnsi="Arial"/>
                <w:sz w:val="22"/>
                <w:szCs w:val="22"/>
              </w:rPr>
              <w:t>Staf Ahli Bidang Teknologi Informasi, Komunikasi dan Trasportasi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ED5699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 w:rsidRPr="00A81BDE">
              <w:rPr>
                <w:rFonts w:ascii="Arial" w:hAnsi="Arial"/>
                <w:sz w:val="22"/>
                <w:szCs w:val="22"/>
              </w:rPr>
              <w:t>Staf Ahli Bidang Kesehatan dan Obat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ED5699" w:rsidRPr="009D1E74" w:rsidRDefault="00ED5699" w:rsidP="00D609EC">
            <w:pPr>
              <w:numPr>
                <w:ilvl w:val="0"/>
                <w:numId w:val="1"/>
              </w:numPr>
              <w:tabs>
                <w:tab w:val="left" w:pos="406"/>
                <w:tab w:val="left" w:pos="618"/>
              </w:tabs>
              <w:ind w:left="406"/>
              <w:jc w:val="both"/>
              <w:rPr>
                <w:rFonts w:ascii="Arial" w:hAnsi="Arial"/>
                <w:sz w:val="22"/>
                <w:szCs w:val="22"/>
              </w:rPr>
            </w:pPr>
            <w:r w:rsidRPr="00A81BDE">
              <w:rPr>
                <w:rFonts w:ascii="Arial" w:hAnsi="Arial"/>
                <w:sz w:val="22"/>
                <w:szCs w:val="22"/>
              </w:rPr>
              <w:t>Staf Ahli Bidang Pertahanan dan Kemananan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</w:tbl>
    <w:p w:rsidR="00ED5699" w:rsidRDefault="00ED5699" w:rsidP="00ED5699">
      <w:pPr>
        <w:ind w:left="3376"/>
        <w:jc w:val="both"/>
      </w:pPr>
    </w:p>
    <w:p w:rsidR="00ED5699" w:rsidRDefault="00ED5699" w:rsidP="00ED5699">
      <w:pPr>
        <w:ind w:left="3376"/>
        <w:jc w:val="both"/>
      </w:pPr>
    </w:p>
    <w:p w:rsidR="00ED5699" w:rsidRDefault="00ED5699" w:rsidP="00ED569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Ditetapkan </w:t>
      </w:r>
      <w:r>
        <w:rPr>
          <w:rFonts w:ascii="Arial" w:hAnsi="Arial"/>
          <w:sz w:val="22"/>
          <w:szCs w:val="22"/>
        </w:rPr>
        <w:tab/>
        <w:t>:  di Jakarta</w:t>
      </w:r>
    </w:p>
    <w:p w:rsidR="00ED5699" w:rsidRDefault="00ED5699" w:rsidP="00ED569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pada tanggal</w:t>
      </w:r>
      <w:r>
        <w:rPr>
          <w:rFonts w:ascii="Arial" w:hAnsi="Arial"/>
          <w:sz w:val="22"/>
          <w:szCs w:val="22"/>
        </w:rPr>
        <w:tab/>
        <w:t>:       Juli 2014</w:t>
      </w:r>
    </w:p>
    <w:p w:rsidR="00ED5699" w:rsidRDefault="00ED5699" w:rsidP="00ED5699">
      <w:pPr>
        <w:rPr>
          <w:rFonts w:ascii="Arial" w:hAnsi="Arial"/>
          <w:sz w:val="22"/>
          <w:szCs w:val="22"/>
        </w:rPr>
      </w:pPr>
    </w:p>
    <w:p w:rsidR="00ED5699" w:rsidRDefault="00ED5699" w:rsidP="00ED569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MENTERI RISET DAN TEKNOLOGI</w:t>
      </w:r>
    </w:p>
    <w:p w:rsidR="00ED5699" w:rsidRDefault="00ED5699" w:rsidP="00ED5699">
      <w:p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REPUBLIK INDONESIA,</w:t>
      </w:r>
    </w:p>
    <w:p w:rsidR="00ED5699" w:rsidRDefault="00ED5699" w:rsidP="00ED5699">
      <w:pPr>
        <w:spacing w:after="113"/>
        <w:rPr>
          <w:rFonts w:ascii="Arial" w:hAnsi="Arial" w:cs="Lucidasans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Lucidasans"/>
          <w:sz w:val="22"/>
          <w:szCs w:val="22"/>
          <w:lang w:val="sv-SE"/>
        </w:rPr>
        <w:t xml:space="preserve">      </w:t>
      </w:r>
      <w:r>
        <w:rPr>
          <w:rFonts w:ascii="Arial" w:hAnsi="Arial" w:cs="Lucidasans"/>
          <w:sz w:val="22"/>
          <w:szCs w:val="22"/>
          <w:lang w:val="sv-SE"/>
        </w:rPr>
        <w:tab/>
      </w:r>
      <w:r>
        <w:rPr>
          <w:rFonts w:ascii="Arial" w:hAnsi="Arial" w:cs="Lucidasans"/>
          <w:sz w:val="22"/>
          <w:szCs w:val="22"/>
          <w:lang w:val="sv-SE"/>
        </w:rPr>
        <w:tab/>
        <w:t xml:space="preserve">     </w:t>
      </w:r>
    </w:p>
    <w:p w:rsidR="00ED5699" w:rsidRPr="00C249B1" w:rsidRDefault="00ED5699" w:rsidP="00ED5699">
      <w:pPr>
        <w:tabs>
          <w:tab w:val="left" w:pos="6165"/>
        </w:tabs>
        <w:ind w:left="2310" w:hanging="2295"/>
        <w:rPr>
          <w:rFonts w:ascii="Arial" w:hAnsi="Arial" w:cs="Lucidasans"/>
          <w:sz w:val="22"/>
          <w:szCs w:val="22"/>
          <w:lang/>
        </w:rPr>
      </w:pPr>
      <w:r>
        <w:rPr>
          <w:rFonts w:ascii="Arial" w:hAnsi="Arial" w:cs="Lucidasans"/>
          <w:sz w:val="22"/>
          <w:szCs w:val="22"/>
          <w:lang/>
        </w:rPr>
        <w:tab/>
      </w:r>
      <w:r>
        <w:rPr>
          <w:rFonts w:ascii="Arial" w:hAnsi="Arial" w:cs="Lucidasans"/>
          <w:sz w:val="22"/>
          <w:szCs w:val="22"/>
          <w:lang/>
        </w:rPr>
        <w:tab/>
      </w: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 w:val="sv-SE"/>
        </w:rPr>
      </w:pPr>
      <w:r>
        <w:rPr>
          <w:rFonts w:ascii="Arial" w:hAnsi="Arial" w:cs="Lucidasans"/>
          <w:sz w:val="22"/>
          <w:szCs w:val="22"/>
          <w:lang w:val="sv-SE"/>
        </w:rPr>
        <w:tab/>
      </w: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  <w:r>
        <w:rPr>
          <w:rFonts w:ascii="Arial" w:hAnsi="Arial" w:cs="Lucidasans"/>
          <w:sz w:val="22"/>
          <w:szCs w:val="22"/>
          <w:lang w:val="sv-SE"/>
        </w:rPr>
        <w:tab/>
        <w:t xml:space="preserve">                                           </w:t>
      </w:r>
      <w:r>
        <w:rPr>
          <w:rFonts w:ascii="Arial" w:hAnsi="Arial" w:cs="Lucidasans"/>
          <w:sz w:val="22"/>
          <w:szCs w:val="22"/>
          <w:lang/>
        </w:rPr>
        <w:t>GUSTI MUHAMMAD HATTA</w:t>
      </w: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Pr="0077082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 w:val="sv-SE"/>
        </w:rPr>
      </w:pPr>
    </w:p>
    <w:p w:rsidR="00ED5699" w:rsidRDefault="00ED5699" w:rsidP="00ED5699"/>
    <w:p w:rsidR="00ED5699" w:rsidRDefault="00ED5699" w:rsidP="00ED5699"/>
    <w:p w:rsidR="00ED5699" w:rsidRDefault="00ED5699" w:rsidP="00ED5699"/>
    <w:p w:rsidR="00ED5699" w:rsidRDefault="00ED5699" w:rsidP="00ED5699"/>
    <w:p w:rsidR="00ED5699" w:rsidRDefault="00ED5699" w:rsidP="00ED5699"/>
    <w:p w:rsidR="00ED5699" w:rsidRDefault="00ED5699" w:rsidP="00ED5699">
      <w:pPr>
        <w:ind w:left="51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LAMPIRAN KEPUTUSAN</w:t>
      </w:r>
    </w:p>
    <w:p w:rsidR="00ED5699" w:rsidRDefault="00ED5699" w:rsidP="00ED5699">
      <w:pPr>
        <w:ind w:left="51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MENTERI RISET DAN TEKNOLOGI</w:t>
      </w:r>
    </w:p>
    <w:p w:rsidR="00ED5699" w:rsidRDefault="00ED5699" w:rsidP="00ED5699">
      <w:pPr>
        <w:ind w:left="51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REPUBLIK INDONESIA</w:t>
      </w:r>
    </w:p>
    <w:p w:rsidR="00ED5699" w:rsidRDefault="00ED5699" w:rsidP="00ED5699">
      <w:pPr>
        <w:ind w:left="5103"/>
        <w:jc w:val="both"/>
        <w:rPr>
          <w:rFonts w:ascii="Arial" w:hAnsi="Arial"/>
          <w:sz w:val="22"/>
          <w:szCs w:val="22"/>
          <w:lang w:val="en-US"/>
        </w:rPr>
      </w:pPr>
    </w:p>
    <w:p w:rsidR="00ED5699" w:rsidRDefault="00ED5699" w:rsidP="00ED5699">
      <w:pPr>
        <w:ind w:left="510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NOMOR</w:t>
      </w:r>
      <w:r>
        <w:rPr>
          <w:rFonts w:ascii="Arial" w:hAnsi="Arial"/>
          <w:sz w:val="22"/>
          <w:szCs w:val="22"/>
          <w:lang w:val="en-US"/>
        </w:rPr>
        <w:t xml:space="preserve">    </w:t>
      </w:r>
      <w:r>
        <w:rPr>
          <w:rFonts w:ascii="Arial" w:hAnsi="Arial"/>
          <w:sz w:val="22"/>
          <w:szCs w:val="22"/>
        </w:rPr>
        <w:t>:       /M/KP/VII/2014</w:t>
      </w:r>
    </w:p>
    <w:p w:rsidR="00ED5699" w:rsidRPr="00AC6AE3" w:rsidRDefault="00ED5699" w:rsidP="00ED5699">
      <w:pPr>
        <w:ind w:left="5103"/>
        <w:jc w:val="both"/>
        <w:rPr>
          <w:rFonts w:ascii="Arial" w:hAnsi="Arial"/>
          <w:sz w:val="22"/>
          <w:szCs w:val="22"/>
          <w:lang w:val="en-US"/>
        </w:rPr>
      </w:pPr>
      <w:proofErr w:type="gramStart"/>
      <w:r>
        <w:rPr>
          <w:rFonts w:ascii="Arial" w:hAnsi="Arial"/>
          <w:sz w:val="22"/>
          <w:szCs w:val="22"/>
          <w:lang w:val="en-US"/>
        </w:rPr>
        <w:t>TANGGAL :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  </w:t>
      </w:r>
      <w:r>
        <w:rPr>
          <w:rFonts w:ascii="Arial" w:hAnsi="Arial"/>
          <w:sz w:val="22"/>
          <w:szCs w:val="22"/>
        </w:rPr>
        <w:t xml:space="preserve">    Juli</w:t>
      </w:r>
      <w:r>
        <w:rPr>
          <w:rFonts w:ascii="Arial" w:hAnsi="Arial"/>
          <w:sz w:val="22"/>
          <w:szCs w:val="22"/>
          <w:lang w:val="en-US"/>
        </w:rPr>
        <w:t xml:space="preserve"> 2014</w:t>
      </w:r>
    </w:p>
    <w:p w:rsidR="00ED5699" w:rsidRPr="00FF766F" w:rsidRDefault="00ED5699" w:rsidP="00ED5699">
      <w:pPr>
        <w:rPr>
          <w:rFonts w:ascii="Arial" w:hAnsi="Arial" w:cs="Arial"/>
          <w:sz w:val="22"/>
          <w:szCs w:val="22"/>
        </w:rPr>
      </w:pPr>
    </w:p>
    <w:p w:rsidR="00ED5699" w:rsidRDefault="00ED5699" w:rsidP="00ED5699">
      <w:pPr>
        <w:rPr>
          <w:rFonts w:ascii="Arial" w:hAnsi="Arial" w:cs="Arial"/>
          <w:sz w:val="22"/>
          <w:szCs w:val="22"/>
        </w:rPr>
      </w:pPr>
    </w:p>
    <w:p w:rsidR="00ED5699" w:rsidRDefault="00ED5699" w:rsidP="00ED5699">
      <w:pPr>
        <w:rPr>
          <w:rFonts w:ascii="Arial" w:hAnsi="Arial" w:cs="Arial"/>
          <w:sz w:val="22"/>
          <w:szCs w:val="22"/>
        </w:rPr>
      </w:pPr>
    </w:p>
    <w:p w:rsidR="00ED5699" w:rsidRDefault="00ED5699" w:rsidP="00ED5699">
      <w:pPr>
        <w:jc w:val="center"/>
        <w:rPr>
          <w:rFonts w:ascii="Arial" w:hAnsi="Arial" w:cs="Arial"/>
          <w:b/>
          <w:sz w:val="22"/>
          <w:szCs w:val="22"/>
        </w:rPr>
      </w:pPr>
      <w:r w:rsidRPr="00B73D35">
        <w:rPr>
          <w:rFonts w:ascii="Arial" w:hAnsi="Arial" w:cs="Arial"/>
          <w:b/>
          <w:sz w:val="22"/>
          <w:szCs w:val="22"/>
        </w:rPr>
        <w:t>Tim Evaluasi Pe</w:t>
      </w:r>
      <w:proofErr w:type="spellStart"/>
      <w:r w:rsidR="003E240E">
        <w:rPr>
          <w:rFonts w:ascii="Arial" w:hAnsi="Arial" w:cs="Arial"/>
          <w:b/>
          <w:sz w:val="22"/>
          <w:szCs w:val="22"/>
          <w:lang w:val="en-US"/>
        </w:rPr>
        <w:t>netapan</w:t>
      </w:r>
      <w:proofErr w:type="spellEnd"/>
      <w:r w:rsidR="003E240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73D35">
        <w:rPr>
          <w:rFonts w:ascii="Arial" w:hAnsi="Arial" w:cs="Arial"/>
          <w:b/>
          <w:sz w:val="22"/>
          <w:szCs w:val="22"/>
        </w:rPr>
        <w:t xml:space="preserve"> dan Pe</w:t>
      </w:r>
      <w:proofErr w:type="spellStart"/>
      <w:r w:rsidR="003E240E">
        <w:rPr>
          <w:rFonts w:ascii="Arial" w:hAnsi="Arial" w:cs="Arial"/>
          <w:b/>
          <w:sz w:val="22"/>
          <w:szCs w:val="22"/>
          <w:lang w:val="en-US"/>
        </w:rPr>
        <w:t>nilaian</w:t>
      </w:r>
      <w:proofErr w:type="spellEnd"/>
      <w:r w:rsidR="003E240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3E240E">
        <w:rPr>
          <w:rFonts w:ascii="Arial" w:hAnsi="Arial" w:cs="Arial"/>
          <w:b/>
          <w:sz w:val="22"/>
          <w:szCs w:val="22"/>
          <w:lang w:val="en-US"/>
        </w:rPr>
        <w:t>Capaian</w:t>
      </w:r>
      <w:proofErr w:type="spellEnd"/>
      <w:r w:rsidRPr="00B73D35">
        <w:rPr>
          <w:rFonts w:ascii="Arial" w:hAnsi="Arial" w:cs="Arial"/>
          <w:b/>
          <w:sz w:val="22"/>
          <w:szCs w:val="22"/>
        </w:rPr>
        <w:t xml:space="preserve"> Sasaran Kerja Pegawai (SKP) </w:t>
      </w:r>
    </w:p>
    <w:p w:rsidR="00ED5699" w:rsidRPr="004437EB" w:rsidRDefault="00ED5699" w:rsidP="00ED5699">
      <w:pPr>
        <w:jc w:val="center"/>
        <w:rPr>
          <w:rFonts w:ascii="Arial" w:hAnsi="Arial" w:cs="Arial"/>
          <w:b/>
          <w:sz w:val="22"/>
          <w:szCs w:val="22"/>
        </w:rPr>
      </w:pPr>
      <w:r w:rsidRPr="00B73D35">
        <w:rPr>
          <w:rFonts w:ascii="Arial" w:hAnsi="Arial" w:cs="Arial"/>
          <w:b/>
          <w:sz w:val="22"/>
          <w:szCs w:val="22"/>
        </w:rPr>
        <w:t>di Kementerian Riset dan Teknologi</w:t>
      </w:r>
    </w:p>
    <w:p w:rsidR="00ED5699" w:rsidRDefault="00ED5699" w:rsidP="00ED5699">
      <w:pPr>
        <w:jc w:val="center"/>
        <w:rPr>
          <w:rFonts w:ascii="Arial" w:hAnsi="Arial" w:cs="Arial"/>
          <w:sz w:val="22"/>
          <w:szCs w:val="22"/>
        </w:rPr>
      </w:pPr>
    </w:p>
    <w:p w:rsidR="00ED5699" w:rsidRDefault="00ED5699" w:rsidP="00ED56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065"/>
      </w:tblGrid>
      <w:tr w:rsidR="00ED5699" w:rsidRPr="009D1E74" w:rsidTr="00D609EC">
        <w:trPr>
          <w:trHeight w:val="247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1E7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1E74">
              <w:rPr>
                <w:rFonts w:ascii="Arial" w:hAnsi="Arial" w:cs="Arial"/>
                <w:b/>
                <w:sz w:val="22"/>
                <w:szCs w:val="22"/>
              </w:rPr>
              <w:t>Pejabat yang Ditunjuk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1E74">
              <w:rPr>
                <w:rFonts w:ascii="Arial" w:hAnsi="Arial" w:cs="Arial"/>
                <w:b/>
                <w:sz w:val="22"/>
                <w:szCs w:val="22"/>
              </w:rPr>
              <w:t>Jabatan dalam Tim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Kepala Biro Umum</w:t>
            </w:r>
          </w:p>
        </w:tc>
        <w:tc>
          <w:tcPr>
            <w:tcW w:w="4065" w:type="dxa"/>
            <w:vAlign w:val="center"/>
          </w:tcPr>
          <w:p w:rsidR="00ED5699" w:rsidRPr="0072735F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Ketua</w:t>
            </w:r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>merangkap</w:t>
            </w:r>
            <w:proofErr w:type="spellEnd"/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>anggota</w:t>
            </w:r>
            <w:proofErr w:type="spellEnd"/>
          </w:p>
        </w:tc>
      </w:tr>
      <w:tr w:rsidR="00ED5699" w:rsidRPr="009D1E74" w:rsidTr="00D609EC">
        <w:trPr>
          <w:trHeight w:val="247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Kepala Bagian SDM dan Organisasi</w:t>
            </w:r>
          </w:p>
        </w:tc>
        <w:tc>
          <w:tcPr>
            <w:tcW w:w="4065" w:type="dxa"/>
            <w:vAlign w:val="center"/>
          </w:tcPr>
          <w:p w:rsidR="00ED5699" w:rsidRPr="0072735F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Sekretaris</w:t>
            </w:r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>merangkap</w:t>
            </w:r>
            <w:proofErr w:type="spellEnd"/>
            <w:r w:rsidR="0072735F">
              <w:rPr>
                <w:rFonts w:ascii="Arial" w:hAnsi="Arial" w:cs="Arial"/>
                <w:sz w:val="22"/>
                <w:szCs w:val="22"/>
                <w:lang w:val="en-US"/>
              </w:rPr>
              <w:t xml:space="preserve"> 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Kepala Biro Perencanaan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Inspektur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Asisten Deputi Penataan Kelembagaan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Asisten Deputi Sarana dan Prasarana Iptek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Asisten Deputi Jaringan Penyedia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Asisten Deputi Relevansi Kebijakan Riset Iptek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ED5699" w:rsidRPr="009D1E74" w:rsidTr="00D609EC">
        <w:trPr>
          <w:trHeight w:val="262"/>
        </w:trPr>
        <w:tc>
          <w:tcPr>
            <w:tcW w:w="534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Asdep Iptek Pemerintah</w:t>
            </w:r>
          </w:p>
        </w:tc>
        <w:tc>
          <w:tcPr>
            <w:tcW w:w="4065" w:type="dxa"/>
            <w:vAlign w:val="center"/>
          </w:tcPr>
          <w:p w:rsidR="00ED5699" w:rsidRPr="009D1E74" w:rsidRDefault="00ED5699" w:rsidP="00D60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1E74"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</w:tbl>
    <w:p w:rsidR="00ED5699" w:rsidRDefault="00ED5699" w:rsidP="00ED5699">
      <w:pPr>
        <w:jc w:val="both"/>
        <w:rPr>
          <w:rFonts w:ascii="Arial" w:hAnsi="Arial" w:cs="Arial"/>
          <w:sz w:val="22"/>
          <w:szCs w:val="22"/>
        </w:rPr>
      </w:pPr>
    </w:p>
    <w:p w:rsidR="00ED5699" w:rsidRDefault="00ED5699" w:rsidP="00ED5699">
      <w:pPr>
        <w:jc w:val="both"/>
        <w:rPr>
          <w:rFonts w:ascii="Arial" w:hAnsi="Arial" w:cs="Arial"/>
          <w:sz w:val="22"/>
          <w:szCs w:val="22"/>
        </w:rPr>
      </w:pPr>
    </w:p>
    <w:p w:rsidR="00ED5699" w:rsidRPr="00B73D35" w:rsidRDefault="00ED5699" w:rsidP="00ED5699">
      <w:pPr>
        <w:jc w:val="both"/>
        <w:rPr>
          <w:rFonts w:ascii="Arial" w:hAnsi="Arial" w:cs="Arial"/>
          <w:sz w:val="22"/>
          <w:szCs w:val="22"/>
        </w:rPr>
      </w:pPr>
    </w:p>
    <w:p w:rsidR="00ED5699" w:rsidRDefault="00ED5699" w:rsidP="00ED569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                                                                           </w:t>
      </w:r>
      <w:r>
        <w:rPr>
          <w:rFonts w:ascii="Arial" w:hAnsi="Arial"/>
          <w:sz w:val="22"/>
          <w:szCs w:val="22"/>
        </w:rPr>
        <w:t>MENTERI RISET DAN TEKNOLOGI</w:t>
      </w:r>
    </w:p>
    <w:p w:rsidR="00ED5699" w:rsidRDefault="00ED5699" w:rsidP="00ED5699">
      <w:p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REPUBLIK INDONESIA,</w:t>
      </w:r>
    </w:p>
    <w:p w:rsidR="00ED5699" w:rsidRDefault="00ED5699" w:rsidP="00ED5699">
      <w:pPr>
        <w:spacing w:after="113"/>
        <w:rPr>
          <w:rFonts w:ascii="Arial" w:hAnsi="Arial" w:cs="Lucidasans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Lucidasans"/>
          <w:sz w:val="22"/>
          <w:szCs w:val="22"/>
          <w:lang w:val="sv-SE"/>
        </w:rPr>
        <w:t xml:space="preserve">      </w:t>
      </w:r>
      <w:r>
        <w:rPr>
          <w:rFonts w:ascii="Arial" w:hAnsi="Arial" w:cs="Lucidasans"/>
          <w:sz w:val="22"/>
          <w:szCs w:val="22"/>
          <w:lang w:val="sv-SE"/>
        </w:rPr>
        <w:tab/>
      </w:r>
      <w:r>
        <w:rPr>
          <w:rFonts w:ascii="Arial" w:hAnsi="Arial" w:cs="Lucidasans"/>
          <w:sz w:val="22"/>
          <w:szCs w:val="22"/>
          <w:lang w:val="sv-SE"/>
        </w:rPr>
        <w:tab/>
        <w:t xml:space="preserve">     </w:t>
      </w:r>
    </w:p>
    <w:p w:rsidR="00ED5699" w:rsidRPr="00977E3B" w:rsidRDefault="00ED5699" w:rsidP="00ED5699">
      <w:pPr>
        <w:tabs>
          <w:tab w:val="left" w:pos="6195"/>
        </w:tabs>
        <w:ind w:left="2310" w:hanging="2295"/>
        <w:rPr>
          <w:rFonts w:ascii="Arial" w:hAnsi="Arial" w:cs="Lucidasans"/>
          <w:sz w:val="22"/>
          <w:szCs w:val="22"/>
          <w:lang/>
        </w:rPr>
      </w:pPr>
      <w:r>
        <w:rPr>
          <w:rFonts w:ascii="Arial" w:hAnsi="Arial" w:cs="Lucidasans"/>
          <w:sz w:val="22"/>
          <w:szCs w:val="22"/>
          <w:lang w:val="sv-SE"/>
        </w:rPr>
        <w:tab/>
      </w:r>
      <w:r>
        <w:rPr>
          <w:rFonts w:ascii="Arial" w:hAnsi="Arial" w:cs="Lucidasans"/>
          <w:sz w:val="22"/>
          <w:szCs w:val="22"/>
          <w:lang w:val="sv-SE"/>
        </w:rPr>
        <w:tab/>
      </w: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  <w:r>
        <w:rPr>
          <w:rFonts w:ascii="Arial" w:hAnsi="Arial" w:cs="Lucidasans"/>
          <w:sz w:val="22"/>
          <w:szCs w:val="22"/>
          <w:lang w:val="sv-SE"/>
        </w:rPr>
        <w:tab/>
      </w:r>
    </w:p>
    <w:p w:rsidR="00ED5699" w:rsidRPr="00C249B1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/>
        </w:rPr>
      </w:pPr>
    </w:p>
    <w:p w:rsidR="00ED5699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 w:val="en-US"/>
        </w:rPr>
      </w:pPr>
      <w:r>
        <w:rPr>
          <w:rFonts w:ascii="Arial" w:hAnsi="Arial" w:cs="Lucidasans"/>
          <w:sz w:val="22"/>
          <w:szCs w:val="22"/>
          <w:lang w:val="sv-SE"/>
        </w:rPr>
        <w:tab/>
        <w:t xml:space="preserve">                                           </w:t>
      </w:r>
      <w:r>
        <w:rPr>
          <w:rFonts w:ascii="Arial" w:hAnsi="Arial" w:cs="Lucidasans"/>
          <w:sz w:val="22"/>
          <w:szCs w:val="22"/>
          <w:lang/>
        </w:rPr>
        <w:t>GUSTI MUHAMMAD HATTA</w:t>
      </w:r>
    </w:p>
    <w:p w:rsidR="00ED5699" w:rsidRPr="00AC6AE3" w:rsidRDefault="00ED5699" w:rsidP="00ED5699">
      <w:pPr>
        <w:tabs>
          <w:tab w:val="left" w:pos="22860"/>
        </w:tabs>
        <w:ind w:left="2310" w:hanging="2295"/>
        <w:rPr>
          <w:rFonts w:ascii="Arial" w:hAnsi="Arial" w:cs="Lucidasans"/>
          <w:sz w:val="22"/>
          <w:szCs w:val="22"/>
          <w:lang w:val="en-US"/>
        </w:rPr>
      </w:pPr>
    </w:p>
    <w:p w:rsidR="00ED5699" w:rsidRDefault="00ED5699" w:rsidP="00ED5699"/>
    <w:p w:rsidR="00ED5699" w:rsidRDefault="00ED5699" w:rsidP="00ED5699">
      <w:pPr>
        <w:jc w:val="both"/>
        <w:rPr>
          <w:rFonts w:ascii="Arial" w:hAnsi="Arial" w:cs="Arial"/>
          <w:sz w:val="22"/>
          <w:szCs w:val="22"/>
        </w:rPr>
      </w:pPr>
    </w:p>
    <w:p w:rsidR="00D721F5" w:rsidRDefault="00D721F5"/>
    <w:sectPr w:rsidR="00D721F5" w:rsidSect="00180C89">
      <w:footnotePr>
        <w:pos w:val="beneathText"/>
      </w:footnotePr>
      <w:pgSz w:w="11905" w:h="16837"/>
      <w:pgMar w:top="1134" w:right="155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1D61E5"/>
    <w:multiLevelType w:val="hybridMultilevel"/>
    <w:tmpl w:val="8850E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ED5699"/>
    <w:rsid w:val="003E240E"/>
    <w:rsid w:val="0072735F"/>
    <w:rsid w:val="00D721F5"/>
    <w:rsid w:val="00ED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9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D5699"/>
    <w:pPr>
      <w:suppressLineNumbers/>
    </w:pPr>
  </w:style>
  <w:style w:type="paragraph" w:styleId="BodyTextIndent">
    <w:name w:val="Body Text Indent"/>
    <w:basedOn w:val="Normal"/>
    <w:link w:val="BodyTextIndentChar"/>
    <w:semiHidden/>
    <w:rsid w:val="00ED5699"/>
    <w:pPr>
      <w:tabs>
        <w:tab w:val="left" w:pos="-16666"/>
        <w:tab w:val="left" w:pos="-16306"/>
      </w:tabs>
      <w:ind w:left="2250" w:hanging="2250"/>
      <w:jc w:val="both"/>
    </w:pPr>
    <w:rPr>
      <w:rFonts w:ascii="Tahoma" w:hAnsi="Tahoma"/>
    </w:rPr>
  </w:style>
  <w:style w:type="character" w:customStyle="1" w:styleId="BodyTextIndentChar">
    <w:name w:val="Body Text Indent Char"/>
    <w:basedOn w:val="DefaultParagraphFont"/>
    <w:link w:val="BodyTextIndent"/>
    <w:semiHidden/>
    <w:rsid w:val="00ED5699"/>
    <w:rPr>
      <w:rFonts w:ascii="Tahoma" w:eastAsia="DejaVu Sans" w:hAnsi="Tahoma" w:cs="Times New Roman"/>
      <w:kern w:val="1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Nasrudin</dc:creator>
  <cp:lastModifiedBy>Nasrudin</cp:lastModifiedBy>
  <cp:revision>1</cp:revision>
  <dcterms:created xsi:type="dcterms:W3CDTF">2014-07-03T05:44:00Z</dcterms:created>
  <dcterms:modified xsi:type="dcterms:W3CDTF">2014-07-03T06:07:00Z</dcterms:modified>
</cp:coreProperties>
</file>